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FF" w:rsidRDefault="004815FF" w:rsidP="004815FF">
      <w:pPr>
        <w:spacing w:line="540" w:lineRule="exact"/>
        <w:rPr>
          <w:rFonts w:ascii="黑体" w:eastAsia="黑体" w:hAnsi="黑体"/>
          <w:sz w:val="30"/>
          <w:szCs w:val="30"/>
        </w:rPr>
      </w:pPr>
    </w:p>
    <w:p w:rsidR="004815FF" w:rsidRDefault="004815FF" w:rsidP="004815FF">
      <w:pPr>
        <w:spacing w:line="5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四川省银行业协会公共关系委员会</w:t>
      </w:r>
    </w:p>
    <w:p w:rsidR="004815FF" w:rsidRDefault="004815FF" w:rsidP="004815FF">
      <w:pPr>
        <w:widowControl/>
        <w:spacing w:line="540" w:lineRule="exac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工作规则</w:t>
      </w:r>
    </w:p>
    <w:p w:rsidR="004815FF" w:rsidRDefault="004815FF" w:rsidP="004815FF">
      <w:pPr>
        <w:widowControl/>
        <w:spacing w:line="540" w:lineRule="exact"/>
        <w:jc w:val="center"/>
        <w:rPr>
          <w:rFonts w:ascii="楷体_GB2312" w:eastAsia="楷体_GB2312" w:hAnsi="宋体" w:cs="宋体"/>
          <w:bCs/>
          <w:color w:val="000000"/>
          <w:kern w:val="0"/>
          <w:sz w:val="30"/>
          <w:szCs w:val="30"/>
        </w:rPr>
      </w:pP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第一章 总 </w:t>
      </w:r>
      <w:r>
        <w:rPr>
          <w:rFonts w:ascii="黑体" w:eastAsia="黑体" w:hAnsi="黑体" w:cs="宋体"/>
          <w:color w:val="000000"/>
          <w:kern w:val="0"/>
          <w:sz w:val="30"/>
          <w:szCs w:val="30"/>
        </w:rPr>
        <w:t xml:space="preserve"> </w:t>
      </w:r>
      <w:r>
        <w:rPr>
          <w:rFonts w:ascii="黑体" w:eastAsia="黑体" w:hAnsi="黑体" w:cs="宋体" w:hint="eastAsia"/>
          <w:color w:val="000000"/>
          <w:kern w:val="0"/>
          <w:sz w:val="30"/>
          <w:szCs w:val="30"/>
        </w:rPr>
        <w:t>则</w:t>
      </w:r>
    </w:p>
    <w:p w:rsidR="004815FF" w:rsidRDefault="004815FF" w:rsidP="004815FF">
      <w:pPr>
        <w:spacing w:line="540" w:lineRule="exact"/>
        <w:ind w:right="-57"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第一条</w:t>
      </w:r>
      <w:r>
        <w:rPr>
          <w:rFonts w:ascii="仿宋_GB2312" w:eastAsia="仿宋_GB2312" w:hAnsi="宋体" w:cs="宋体" w:hint="eastAsia"/>
          <w:color w:val="000000"/>
          <w:kern w:val="0"/>
          <w:sz w:val="30"/>
          <w:szCs w:val="30"/>
        </w:rPr>
        <w:t xml:space="preserve"> 为明确</w:t>
      </w:r>
      <w:r>
        <w:rPr>
          <w:rFonts w:ascii="仿宋_GB2312" w:eastAsia="仿宋_GB2312" w:hAnsi="宋体" w:cs="宋体" w:hint="eastAsia"/>
          <w:bCs/>
          <w:color w:val="000000"/>
          <w:kern w:val="0"/>
          <w:sz w:val="30"/>
          <w:szCs w:val="30"/>
        </w:rPr>
        <w:t>四川省银行业协会</w:t>
      </w:r>
      <w:r>
        <w:rPr>
          <w:rFonts w:ascii="仿宋_GB2312" w:eastAsia="仿宋_GB2312" w:hAnsi="宋体" w:cs="宋体" w:hint="eastAsia"/>
          <w:color w:val="000000"/>
          <w:kern w:val="0"/>
          <w:sz w:val="30"/>
          <w:szCs w:val="30"/>
        </w:rPr>
        <w:t>公共关系委员会（以下简称“委员会”）工作职责，保障其及时、有效地开展各项工作，根据《四川省银行业协会专业委员会管理办法》和《四川省银行业协会章程》制订本规则。</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第二条</w:t>
      </w:r>
      <w:r>
        <w:rPr>
          <w:rFonts w:ascii="仿宋_GB2312" w:eastAsia="仿宋_GB2312" w:hAnsi="宋体" w:cs="宋体" w:hint="eastAsia"/>
          <w:color w:val="000000"/>
          <w:kern w:val="0"/>
          <w:sz w:val="30"/>
          <w:szCs w:val="30"/>
        </w:rPr>
        <w:t xml:space="preserve"> 委员会是四川省银行业协会（以下简称“川银协”）领导下的行业专业工作组织，依照协会章程和本规则开展工作。</w:t>
      </w:r>
    </w:p>
    <w:p w:rsidR="004815FF" w:rsidRDefault="004815FF" w:rsidP="004815FF">
      <w:pPr>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第三条</w:t>
      </w:r>
      <w:r>
        <w:rPr>
          <w:rFonts w:ascii="仿宋_GB2312" w:eastAsia="仿宋_GB2312" w:hAnsi="宋体" w:cs="宋体" w:hint="eastAsia"/>
          <w:color w:val="000000"/>
          <w:kern w:val="0"/>
          <w:sz w:val="30"/>
          <w:szCs w:val="30"/>
        </w:rPr>
        <w:t xml:space="preserve"> 委员会的宗旨是搭建公共关系工作管理交流和合作平台，</w:t>
      </w:r>
      <w:r>
        <w:rPr>
          <w:rFonts w:ascii="仿宋_GB2312" w:eastAsia="仿宋_GB2312" w:hAnsi="宋体" w:cs="宋体"/>
          <w:color w:val="000000"/>
          <w:kern w:val="0"/>
          <w:sz w:val="30"/>
          <w:szCs w:val="30"/>
        </w:rPr>
        <w:t>开展公共关系理论研究</w:t>
      </w:r>
      <w:r>
        <w:rPr>
          <w:rFonts w:ascii="仿宋_GB2312" w:eastAsia="仿宋_GB2312" w:hAnsi="宋体" w:cs="宋体" w:hint="eastAsia"/>
          <w:color w:val="000000"/>
          <w:kern w:val="0"/>
          <w:sz w:val="30"/>
          <w:szCs w:val="30"/>
        </w:rPr>
        <w:t>、专业培训</w:t>
      </w:r>
      <w:r>
        <w:rPr>
          <w:rFonts w:ascii="仿宋_GB2312" w:eastAsia="仿宋_GB2312" w:hAnsi="宋体" w:cs="宋体"/>
          <w:color w:val="000000"/>
          <w:kern w:val="0"/>
          <w:sz w:val="30"/>
          <w:szCs w:val="30"/>
        </w:rPr>
        <w:t>和</w:t>
      </w:r>
      <w:r>
        <w:rPr>
          <w:rFonts w:ascii="仿宋_GB2312" w:eastAsia="仿宋_GB2312" w:hAnsi="宋体" w:cs="宋体" w:hint="eastAsia"/>
          <w:color w:val="000000"/>
          <w:kern w:val="0"/>
          <w:sz w:val="30"/>
          <w:szCs w:val="30"/>
        </w:rPr>
        <w:t>工作</w:t>
      </w:r>
      <w:r>
        <w:rPr>
          <w:rFonts w:ascii="仿宋_GB2312" w:eastAsia="仿宋_GB2312" w:hAnsi="宋体" w:cs="宋体"/>
          <w:color w:val="000000"/>
          <w:kern w:val="0"/>
          <w:sz w:val="30"/>
          <w:szCs w:val="30"/>
        </w:rPr>
        <w:t>实践，推动</w:t>
      </w:r>
      <w:r>
        <w:rPr>
          <w:rFonts w:ascii="仿宋_GB2312" w:eastAsia="仿宋_GB2312" w:hAnsi="宋体" w:cs="宋体" w:hint="eastAsia"/>
          <w:color w:val="000000"/>
          <w:kern w:val="0"/>
          <w:sz w:val="30"/>
          <w:szCs w:val="30"/>
        </w:rPr>
        <w:t>四川银行业</w:t>
      </w:r>
      <w:r>
        <w:rPr>
          <w:rFonts w:ascii="仿宋_GB2312" w:eastAsia="仿宋_GB2312" w:hAnsi="宋体" w:cs="宋体"/>
          <w:color w:val="000000"/>
          <w:kern w:val="0"/>
          <w:sz w:val="30"/>
          <w:szCs w:val="30"/>
        </w:rPr>
        <w:t>公共关系事业健康发展；广泛开展</w:t>
      </w:r>
      <w:r>
        <w:rPr>
          <w:rFonts w:ascii="仿宋_GB2312" w:eastAsia="仿宋_GB2312" w:hAnsi="宋体" w:cs="宋体" w:hint="eastAsia"/>
          <w:color w:val="000000"/>
          <w:kern w:val="0"/>
          <w:sz w:val="30"/>
          <w:szCs w:val="30"/>
        </w:rPr>
        <w:t>各层级</w:t>
      </w:r>
      <w:r>
        <w:rPr>
          <w:rFonts w:ascii="仿宋_GB2312" w:eastAsia="仿宋_GB2312" w:hAnsi="宋体" w:cs="宋体"/>
          <w:color w:val="000000"/>
          <w:kern w:val="0"/>
          <w:sz w:val="30"/>
          <w:szCs w:val="30"/>
        </w:rPr>
        <w:t>交流，讲好</w:t>
      </w:r>
      <w:r>
        <w:rPr>
          <w:rFonts w:ascii="仿宋_GB2312" w:eastAsia="仿宋_GB2312" w:hAnsi="宋体" w:cs="宋体" w:hint="eastAsia"/>
          <w:color w:val="000000"/>
          <w:kern w:val="0"/>
          <w:sz w:val="30"/>
          <w:szCs w:val="30"/>
        </w:rPr>
        <w:t>行业</w:t>
      </w:r>
      <w:r>
        <w:rPr>
          <w:rFonts w:ascii="仿宋_GB2312" w:eastAsia="仿宋_GB2312" w:hAnsi="宋体" w:cs="宋体"/>
          <w:color w:val="000000"/>
          <w:kern w:val="0"/>
          <w:sz w:val="30"/>
          <w:szCs w:val="30"/>
        </w:rPr>
        <w:t>故事，树立和展示</w:t>
      </w:r>
      <w:r>
        <w:rPr>
          <w:rFonts w:ascii="仿宋_GB2312" w:eastAsia="仿宋_GB2312" w:hAnsi="宋体" w:cs="宋体" w:hint="eastAsia"/>
          <w:color w:val="000000"/>
          <w:kern w:val="0"/>
          <w:sz w:val="30"/>
          <w:szCs w:val="30"/>
        </w:rPr>
        <w:t>行业</w:t>
      </w:r>
      <w:r>
        <w:rPr>
          <w:rFonts w:ascii="仿宋_GB2312" w:eastAsia="仿宋_GB2312" w:hAnsi="宋体" w:cs="宋体"/>
          <w:color w:val="000000"/>
          <w:kern w:val="0"/>
          <w:sz w:val="30"/>
          <w:szCs w:val="30"/>
        </w:rPr>
        <w:t>形象；</w:t>
      </w:r>
      <w:r>
        <w:rPr>
          <w:rFonts w:ascii="仿宋_GB2312" w:eastAsia="仿宋_GB2312" w:hAnsi="宋体" w:cs="宋体" w:hint="eastAsia"/>
          <w:color w:val="000000"/>
          <w:kern w:val="0"/>
          <w:sz w:val="30"/>
          <w:szCs w:val="30"/>
        </w:rPr>
        <w:t>切实做好危机公关、</w:t>
      </w:r>
      <w:r>
        <w:rPr>
          <w:rFonts w:ascii="仿宋_GB2312" w:eastAsia="仿宋_GB2312" w:hAnsi="宋体" w:cs="宋体"/>
          <w:color w:val="000000"/>
          <w:kern w:val="0"/>
          <w:sz w:val="30"/>
          <w:szCs w:val="30"/>
        </w:rPr>
        <w:t>策划组织公共关系活动、提供决策咨询，推动</w:t>
      </w:r>
      <w:r>
        <w:rPr>
          <w:rFonts w:ascii="仿宋_GB2312" w:eastAsia="仿宋_GB2312" w:hAnsi="宋体" w:cs="宋体" w:hint="eastAsia"/>
          <w:color w:val="000000"/>
          <w:kern w:val="0"/>
          <w:sz w:val="30"/>
          <w:szCs w:val="30"/>
        </w:rPr>
        <w:t>四川银行业稳健</w:t>
      </w:r>
      <w:r>
        <w:rPr>
          <w:rFonts w:ascii="仿宋_GB2312" w:eastAsia="仿宋_GB2312" w:hAnsi="宋体" w:cs="宋体"/>
          <w:color w:val="000000"/>
          <w:kern w:val="0"/>
          <w:sz w:val="30"/>
          <w:szCs w:val="30"/>
        </w:rPr>
        <w:t>发展。</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第四条</w:t>
      </w:r>
      <w:r>
        <w:rPr>
          <w:rFonts w:ascii="仿宋_GB2312" w:eastAsia="仿宋_GB2312" w:hAnsi="宋体" w:cs="宋体" w:hint="eastAsia"/>
          <w:color w:val="000000"/>
          <w:kern w:val="0"/>
          <w:sz w:val="30"/>
          <w:szCs w:val="30"/>
        </w:rPr>
        <w:t xml:space="preserve"> 委员会工作的基本原则是“整体一致、平等互惠、全员公关”。</w:t>
      </w: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第二章 职 </w:t>
      </w:r>
      <w:r>
        <w:rPr>
          <w:rFonts w:ascii="黑体" w:eastAsia="黑体" w:hAnsi="黑体" w:cs="宋体"/>
          <w:color w:val="000000"/>
          <w:kern w:val="0"/>
          <w:sz w:val="30"/>
          <w:szCs w:val="30"/>
        </w:rPr>
        <w:t xml:space="preserve"> </w:t>
      </w:r>
      <w:proofErr w:type="gramStart"/>
      <w:r>
        <w:rPr>
          <w:rFonts w:ascii="黑体" w:eastAsia="黑体" w:hAnsi="黑体" w:cs="宋体" w:hint="eastAsia"/>
          <w:color w:val="000000"/>
          <w:kern w:val="0"/>
          <w:sz w:val="30"/>
          <w:szCs w:val="30"/>
        </w:rPr>
        <w:t>责</w:t>
      </w:r>
      <w:proofErr w:type="gramEnd"/>
    </w:p>
    <w:p w:rsidR="004815FF" w:rsidRDefault="004815FF" w:rsidP="004815FF">
      <w:pPr>
        <w:tabs>
          <w:tab w:val="left" w:pos="3175"/>
        </w:tabs>
        <w:spacing w:line="540" w:lineRule="exact"/>
        <w:ind w:firstLineChars="200" w:firstLine="602"/>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第五条</w:t>
      </w:r>
      <w:r>
        <w:rPr>
          <w:rFonts w:ascii="仿宋_GB2312" w:eastAsia="仿宋_GB2312" w:hAnsi="宋体" w:cs="宋体" w:hint="eastAsia"/>
          <w:color w:val="000000"/>
          <w:kern w:val="0"/>
          <w:sz w:val="30"/>
          <w:szCs w:val="30"/>
        </w:rPr>
        <w:t xml:space="preserve"> 委员会行使下列职责：</w:t>
      </w:r>
    </w:p>
    <w:p w:rsidR="004815FF" w:rsidRDefault="004815FF" w:rsidP="004815F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w:t>
      </w:r>
      <w:r>
        <w:rPr>
          <w:rFonts w:ascii="仿宋_GB2312" w:eastAsia="仿宋_GB2312" w:hAnsi="宋体" w:cs="宋体"/>
          <w:color w:val="000000"/>
          <w:kern w:val="0"/>
          <w:sz w:val="30"/>
          <w:szCs w:val="30"/>
        </w:rPr>
        <w:t>围绕公共关系领域</w:t>
      </w:r>
      <w:r>
        <w:rPr>
          <w:rFonts w:ascii="仿宋_GB2312" w:eastAsia="仿宋_GB2312" w:hAnsi="宋体" w:cs="宋体" w:hint="eastAsia"/>
          <w:color w:val="000000"/>
          <w:kern w:val="0"/>
          <w:sz w:val="30"/>
          <w:szCs w:val="30"/>
        </w:rPr>
        <w:t>重要</w:t>
      </w:r>
      <w:r>
        <w:rPr>
          <w:rFonts w:ascii="仿宋_GB2312" w:eastAsia="仿宋_GB2312" w:hAnsi="宋体" w:cs="宋体"/>
          <w:color w:val="000000"/>
          <w:kern w:val="0"/>
          <w:sz w:val="30"/>
          <w:szCs w:val="30"/>
        </w:rPr>
        <w:t>热点问题进行调查研究，注重实践总结和理论创新，为</w:t>
      </w:r>
      <w:r>
        <w:rPr>
          <w:rFonts w:ascii="仿宋_GB2312" w:eastAsia="仿宋_GB2312" w:hAnsi="宋体" w:cs="宋体" w:hint="eastAsia"/>
          <w:color w:val="000000"/>
          <w:kern w:val="0"/>
          <w:sz w:val="30"/>
          <w:szCs w:val="30"/>
        </w:rPr>
        <w:t>成员单位</w:t>
      </w:r>
      <w:r>
        <w:rPr>
          <w:rFonts w:ascii="仿宋_GB2312" w:eastAsia="仿宋_GB2312" w:hAnsi="宋体" w:cs="宋体"/>
          <w:color w:val="000000"/>
          <w:kern w:val="0"/>
          <w:sz w:val="30"/>
          <w:szCs w:val="30"/>
        </w:rPr>
        <w:t>更好地服务公众，树立良好的形象提供决策参考和咨询服务。</w:t>
      </w:r>
    </w:p>
    <w:p w:rsidR="004815FF" w:rsidRDefault="004815FF" w:rsidP="004815FF">
      <w:pPr>
        <w:ind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二</w:t>
      </w:r>
      <w:r>
        <w:rPr>
          <w:rFonts w:ascii="仿宋_GB2312" w:eastAsia="仿宋_GB2312" w:hAnsi="宋体" w:cs="宋体"/>
          <w:color w:val="000000"/>
          <w:kern w:val="0"/>
          <w:sz w:val="30"/>
          <w:szCs w:val="30"/>
        </w:rPr>
        <w:t>）开展教育培训，</w:t>
      </w:r>
      <w:r>
        <w:rPr>
          <w:rFonts w:ascii="仿宋_GB2312" w:eastAsia="仿宋_GB2312" w:hAnsi="宋体" w:cs="宋体" w:hint="eastAsia"/>
          <w:color w:val="000000"/>
          <w:kern w:val="0"/>
          <w:sz w:val="30"/>
          <w:szCs w:val="30"/>
        </w:rPr>
        <w:t>组织开展专题培训、学习交流活动</w:t>
      </w:r>
      <w:r>
        <w:rPr>
          <w:rFonts w:ascii="仿宋_GB2312" w:eastAsia="仿宋_GB2312" w:hAnsi="宋体" w:cs="宋体"/>
          <w:color w:val="000000"/>
          <w:kern w:val="0"/>
          <w:sz w:val="30"/>
          <w:szCs w:val="30"/>
        </w:rPr>
        <w:t>，</w:t>
      </w:r>
      <w:r>
        <w:rPr>
          <w:rFonts w:ascii="仿宋_GB2312" w:eastAsia="仿宋_GB2312" w:hAnsi="宋体" w:cs="宋体"/>
          <w:color w:val="000000"/>
          <w:kern w:val="0"/>
          <w:sz w:val="30"/>
          <w:szCs w:val="30"/>
        </w:rPr>
        <w:lastRenderedPageBreak/>
        <w:t>普及公共关系知识，</w:t>
      </w:r>
      <w:r>
        <w:rPr>
          <w:rFonts w:ascii="仿宋_GB2312" w:eastAsia="仿宋_GB2312" w:hAnsi="宋体" w:cs="宋体" w:hint="eastAsia"/>
          <w:color w:val="000000"/>
          <w:kern w:val="0"/>
          <w:sz w:val="30"/>
          <w:szCs w:val="30"/>
        </w:rPr>
        <w:t>培养公共关系人才队伍，增强公关技能。</w:t>
      </w:r>
    </w:p>
    <w:p w:rsidR="004815FF" w:rsidRDefault="004815FF" w:rsidP="004815F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w:t>
      </w:r>
      <w:r>
        <w:rPr>
          <w:rFonts w:ascii="仿宋_GB2312" w:eastAsia="仿宋_GB2312" w:hAnsi="宋体" w:cs="宋体"/>
          <w:color w:val="000000"/>
          <w:kern w:val="0"/>
          <w:sz w:val="30"/>
          <w:szCs w:val="30"/>
        </w:rPr>
        <w:t>策划组织形式多样、内容丰富的公关活动，</w:t>
      </w:r>
      <w:r>
        <w:rPr>
          <w:rFonts w:ascii="仿宋_GB2312" w:eastAsia="仿宋_GB2312" w:hAnsi="宋体" w:cs="宋体" w:hint="eastAsia"/>
          <w:color w:val="000000"/>
          <w:kern w:val="0"/>
          <w:sz w:val="30"/>
          <w:szCs w:val="30"/>
        </w:rPr>
        <w:t>加强与政府部门、媒体机构、重要人物等沟通联络，搭建和维护各层级公共关系。</w:t>
      </w:r>
    </w:p>
    <w:p w:rsidR="004815FF" w:rsidRDefault="004815FF" w:rsidP="004815F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（四）开展针对性宣传，主动发声，</w:t>
      </w:r>
      <w:r>
        <w:rPr>
          <w:rFonts w:ascii="仿宋_GB2312" w:eastAsia="仿宋_GB2312" w:hAnsi="宋体" w:cs="宋体"/>
          <w:color w:val="000000"/>
          <w:kern w:val="0"/>
          <w:sz w:val="30"/>
          <w:szCs w:val="30"/>
        </w:rPr>
        <w:t>讲好</w:t>
      </w:r>
      <w:r>
        <w:rPr>
          <w:rFonts w:ascii="仿宋_GB2312" w:eastAsia="仿宋_GB2312" w:hAnsi="宋体" w:cs="宋体" w:hint="eastAsia"/>
          <w:color w:val="000000"/>
          <w:kern w:val="0"/>
          <w:sz w:val="30"/>
          <w:szCs w:val="30"/>
        </w:rPr>
        <w:t>行业</w:t>
      </w:r>
      <w:r>
        <w:rPr>
          <w:rFonts w:ascii="仿宋_GB2312" w:eastAsia="仿宋_GB2312" w:hAnsi="宋体" w:cs="宋体"/>
          <w:color w:val="000000"/>
          <w:kern w:val="0"/>
          <w:sz w:val="30"/>
          <w:szCs w:val="30"/>
        </w:rPr>
        <w:t>故事，树立和展示</w:t>
      </w:r>
      <w:r>
        <w:rPr>
          <w:rFonts w:ascii="仿宋_GB2312" w:eastAsia="仿宋_GB2312" w:hAnsi="宋体" w:cs="宋体" w:hint="eastAsia"/>
          <w:color w:val="000000"/>
          <w:kern w:val="0"/>
          <w:sz w:val="30"/>
          <w:szCs w:val="30"/>
        </w:rPr>
        <w:t>行业</w:t>
      </w:r>
      <w:r>
        <w:rPr>
          <w:rFonts w:ascii="仿宋_GB2312" w:eastAsia="仿宋_GB2312" w:hAnsi="宋体" w:cs="宋体"/>
          <w:color w:val="000000"/>
          <w:kern w:val="0"/>
          <w:sz w:val="30"/>
          <w:szCs w:val="30"/>
        </w:rPr>
        <w:t>形象</w:t>
      </w:r>
      <w:r>
        <w:rPr>
          <w:rFonts w:ascii="仿宋_GB2312" w:eastAsia="仿宋_GB2312" w:hAnsi="宋体" w:cs="宋体" w:hint="eastAsia"/>
          <w:color w:val="000000"/>
          <w:kern w:val="0"/>
          <w:sz w:val="30"/>
          <w:szCs w:val="30"/>
        </w:rPr>
        <w:t>。</w:t>
      </w:r>
    </w:p>
    <w:p w:rsidR="004815FF" w:rsidRDefault="004815FF" w:rsidP="004815F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（五）做好危机公关，积极</w:t>
      </w:r>
      <w:r>
        <w:rPr>
          <w:rFonts w:ascii="仿宋_GB2312" w:eastAsia="仿宋_GB2312" w:hAnsi="宋体" w:cs="宋体"/>
          <w:color w:val="000000"/>
          <w:kern w:val="0"/>
          <w:sz w:val="30"/>
          <w:szCs w:val="30"/>
        </w:rPr>
        <w:t>协调运用公共关系资源，</w:t>
      </w:r>
      <w:r>
        <w:rPr>
          <w:rFonts w:ascii="仿宋_GB2312" w:eastAsia="仿宋_GB2312" w:hAnsi="宋体" w:cs="宋体" w:hint="eastAsia"/>
          <w:color w:val="000000"/>
          <w:kern w:val="0"/>
          <w:sz w:val="30"/>
          <w:szCs w:val="30"/>
        </w:rPr>
        <w:t>妥善处理舆情危机事件。</w:t>
      </w:r>
    </w:p>
    <w:p w:rsidR="004815FF" w:rsidRDefault="004815FF" w:rsidP="004815F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（六）</w:t>
      </w:r>
      <w:r>
        <w:rPr>
          <w:rFonts w:ascii="仿宋_GB2312" w:eastAsia="仿宋_GB2312" w:hAnsi="宋体" w:cs="宋体"/>
          <w:color w:val="000000"/>
          <w:kern w:val="0"/>
          <w:sz w:val="30"/>
          <w:szCs w:val="30"/>
        </w:rPr>
        <w:t>发挥协调作用，</w:t>
      </w:r>
      <w:r>
        <w:rPr>
          <w:rFonts w:ascii="仿宋_GB2312" w:eastAsia="仿宋_GB2312" w:hAnsi="宋体" w:cs="宋体" w:hint="eastAsia"/>
          <w:color w:val="000000"/>
          <w:kern w:val="0"/>
          <w:sz w:val="30"/>
          <w:szCs w:val="30"/>
        </w:rPr>
        <w:t>协助会员单位向政府有关部门、企事业单位、其他社会组织等反映诉求，获取相关信息。</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（七）完成协会委托办理的其他事项。</w:t>
      </w: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成员单位</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第六条</w:t>
      </w:r>
      <w:r>
        <w:rPr>
          <w:rFonts w:ascii="仿宋_GB2312" w:eastAsia="仿宋_GB2312" w:hAnsi="宋体" w:cs="宋体" w:hint="eastAsia"/>
          <w:color w:val="000000"/>
          <w:kern w:val="0"/>
          <w:sz w:val="30"/>
          <w:szCs w:val="30"/>
        </w:rPr>
        <w:t xml:space="preserve">  委员会其成员单位，应当在正式会员单位自愿报名的基础上，由理事会审定。委员会原则上由不超过25家会员单位组成。委员由成员单位委派相关专业部门副总经理（含）以上高级管理人员或资深业务主管担任。</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（一）若委员会未满员可以根据</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秘书处或委员会主任单位提议，由会员单位向</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秘书处提出书面申请，由委员会表决通过后，吸收新的成员单位。</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（二）若委员会已满员，原则上每三年调整一次成员单位，即由委员会对成员单位进行无记名投票，并根据新申请加入的成员单位数量，更新不超过20%的成员资格。</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第七条</w:t>
      </w:r>
      <w:r>
        <w:rPr>
          <w:rFonts w:ascii="仿宋_GB2312" w:eastAsia="仿宋_GB2312" w:hAnsi="宋体" w:cs="宋体" w:hint="eastAsia"/>
          <w:color w:val="000000"/>
          <w:kern w:val="0"/>
          <w:sz w:val="30"/>
          <w:szCs w:val="30"/>
        </w:rPr>
        <w:t xml:space="preserve"> 成员单位是委员会工作和服务的对象，有权对委员会的工作进行监督，并提出意见、建议和要求。</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lastRenderedPageBreak/>
        <w:t>第八条</w:t>
      </w:r>
      <w:r>
        <w:rPr>
          <w:rFonts w:ascii="仿宋_GB2312" w:eastAsia="仿宋_GB2312" w:hAnsi="宋体" w:cs="宋体" w:hint="eastAsia"/>
          <w:color w:val="000000"/>
          <w:kern w:val="0"/>
          <w:sz w:val="30"/>
          <w:szCs w:val="30"/>
        </w:rPr>
        <w:t xml:space="preserve"> 成员单位享有下列权利：</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（一）选举权、被选举权和表决权；</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（二）提出全体成员单位会议议案的建议权；</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（三）共享委员会信息；</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（四）对委员会的工作进行监督，并提出意见和建议；</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（五）成员单位应当享有的其他权利。</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第九条</w:t>
      </w:r>
      <w:r>
        <w:rPr>
          <w:rFonts w:ascii="仿宋_GB2312" w:eastAsia="仿宋_GB2312" w:hAnsi="宋体" w:cs="宋体" w:hint="eastAsia"/>
          <w:color w:val="000000"/>
          <w:kern w:val="0"/>
          <w:sz w:val="30"/>
          <w:szCs w:val="30"/>
        </w:rPr>
        <w:t xml:space="preserve"> 成员单位承担的义务：</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（一）遵守委员会工作规则及各项规章制度，执行委员会全体会议及其常务委员会的决议；</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（二）维护委员会的合法权益和声誉；</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（三）应当积极参与、支持专业委员会各项会议和活动，主动向其他成员介绍分享本单位相关工作经验，充分发表意见和建议，尽责履职；</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（四）委员因故不能参加会议或活动的，应当事先向委员会主任请假，同时委托本单位相关人员参加；对会议表决的重要事项，应当由委员会委员本人签署意见。</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（五）成员单位应当承担的其他义务。</w:t>
      </w: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主任、副主任单位</w:t>
      </w:r>
    </w:p>
    <w:p w:rsidR="004815FF" w:rsidRDefault="004815FF" w:rsidP="004815FF">
      <w:pPr>
        <w:widowControl/>
        <w:snapToGrid w:val="0"/>
        <w:spacing w:line="540" w:lineRule="exact"/>
        <w:ind w:firstLineChars="200" w:firstLine="602"/>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第十条</w:t>
      </w:r>
      <w:r>
        <w:rPr>
          <w:rFonts w:ascii="仿宋_GB2312" w:eastAsia="仿宋_GB2312" w:hAnsi="宋体" w:cs="宋体" w:hint="eastAsia"/>
          <w:color w:val="000000"/>
          <w:kern w:val="0"/>
          <w:sz w:val="30"/>
          <w:szCs w:val="30"/>
        </w:rPr>
        <w:t xml:space="preserve"> 委员会设主任一人、副主任若干人。其中1名副主任可根据需要由</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副秘书长担任。委员会正副主任单位的产生，由成员单位自荐或秘书处推荐，经本委员会成员单位中投票产生，按得票高低排序，高票当选，并由</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函告全体会员单位。</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委员会正副主任单位任期三年，工作表现突出的，经专业委员会表决，可以连选连任。</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lastRenderedPageBreak/>
        <w:t>第十一条</w:t>
      </w:r>
      <w:r>
        <w:rPr>
          <w:rFonts w:ascii="仿宋_GB2312" w:eastAsia="仿宋_GB2312" w:hAnsi="宋体" w:cs="宋体" w:hint="eastAsia"/>
          <w:color w:val="000000"/>
          <w:kern w:val="0"/>
          <w:sz w:val="30"/>
          <w:szCs w:val="30"/>
        </w:rPr>
        <w:t xml:space="preserve"> 委员会主任、副主任任职条件：</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（一）热心委员会的工作；</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（二）具有银行业声誉风险管理、公共关系维护相关理论知识和实践经历；</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（三）委员会正副主任原则上应由相关专业部门副总经理（含）以上高级管理人员担任委员会正副主任，由</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聘任。</w:t>
      </w:r>
    </w:p>
    <w:p w:rsidR="004815FF" w:rsidRDefault="004815FF" w:rsidP="004815FF">
      <w:pPr>
        <w:widowControl/>
        <w:snapToGrid w:val="0"/>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第十二条</w:t>
      </w:r>
      <w:r>
        <w:rPr>
          <w:rFonts w:ascii="仿宋_GB2312" w:eastAsia="仿宋_GB2312" w:hAnsi="宋体" w:cs="宋体" w:hint="eastAsia"/>
          <w:color w:val="000000"/>
          <w:kern w:val="0"/>
          <w:sz w:val="30"/>
          <w:szCs w:val="30"/>
        </w:rPr>
        <w:t xml:space="preserve">  委员会应建立主任牵头、副主任协助的领导机制，主任、副主任行使以下职责：</w:t>
      </w:r>
    </w:p>
    <w:p w:rsidR="004815FF" w:rsidRDefault="004815FF" w:rsidP="004815FF">
      <w:pPr>
        <w:widowControl/>
        <w:snapToGrid w:val="0"/>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（一）组织制订年度工作计划，明确阶段性重点工作，确定调研课题，并组织逐项推进落实。</w:t>
      </w:r>
    </w:p>
    <w:p w:rsidR="004815FF" w:rsidRDefault="004815FF" w:rsidP="004815FF">
      <w:pPr>
        <w:widowControl/>
        <w:snapToGrid w:val="0"/>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（二）主持召开工作例会及委员会相关会议，每半年收集专业领域共性问题和诉求，并汇总梳理后报送</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秘书处。同时，就</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秘书处征集到的会员单位相关问题和诉求，组织成员单位进行研究，提出专业建议和建设性意见。</w:t>
      </w:r>
    </w:p>
    <w:p w:rsidR="004815FF" w:rsidRDefault="004815FF" w:rsidP="004815FF">
      <w:pPr>
        <w:widowControl/>
        <w:snapToGrid w:val="0"/>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（三）组织落实</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交办的各项工作。</w:t>
      </w: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议事规则</w:t>
      </w:r>
    </w:p>
    <w:p w:rsidR="004815FF" w:rsidRDefault="004815FF" w:rsidP="004815FF">
      <w:pPr>
        <w:widowControl/>
        <w:snapToGrid w:val="0"/>
        <w:spacing w:line="540" w:lineRule="exact"/>
        <w:ind w:firstLineChars="200" w:firstLine="602"/>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第十三条</w:t>
      </w:r>
      <w:r>
        <w:rPr>
          <w:rFonts w:ascii="仿宋_GB2312" w:eastAsia="仿宋_GB2312" w:hAnsi="宋体" w:cs="宋体" w:hint="eastAsia"/>
          <w:color w:val="000000"/>
          <w:kern w:val="0"/>
          <w:sz w:val="30"/>
          <w:szCs w:val="30"/>
        </w:rPr>
        <w:t xml:space="preserve">  委员会采取定期成员单位会议和专题研究等方式开展工作。成员单位会议原则上每季度一次，至少半年召开一次，会议内容由委员会主任根据年度工作计划、阶段性重点工作等方面予以确定；专题研究可以根据行业管理部门、理事会、秘书处或两名（含）以上委员会委员提出的议题组织开展。</w:t>
      </w:r>
    </w:p>
    <w:p w:rsidR="004815FF" w:rsidRDefault="004815FF" w:rsidP="004815FF">
      <w:pPr>
        <w:widowControl/>
        <w:snapToGrid w:val="0"/>
        <w:spacing w:line="540" w:lineRule="exact"/>
        <w:ind w:firstLineChars="200" w:firstLine="602"/>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第十四条</w:t>
      </w: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委员会应当在充分讨论研究、平等协商和公正公开的基础上开展各项工作。</w:t>
      </w:r>
    </w:p>
    <w:p w:rsidR="004815FF" w:rsidRDefault="004815FF" w:rsidP="004815FF">
      <w:pPr>
        <w:widowControl/>
        <w:snapToGrid w:val="0"/>
        <w:spacing w:line="540" w:lineRule="exact"/>
        <w:ind w:firstLineChars="200" w:firstLine="602"/>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第十五条</w:t>
      </w:r>
      <w:r>
        <w:rPr>
          <w:rFonts w:ascii="仿宋_GB2312" w:eastAsia="仿宋_GB2312" w:hAnsi="宋体" w:cs="宋体" w:hint="eastAsia"/>
          <w:color w:val="000000"/>
          <w:kern w:val="0"/>
          <w:sz w:val="30"/>
          <w:szCs w:val="30"/>
        </w:rPr>
        <w:t xml:space="preserve">  委员会表决事项（正副主任选举除外），须有1/2以上委员出席方能表决，应当经参加表决的三分之二（含）</w:t>
      </w:r>
      <w:r>
        <w:rPr>
          <w:rFonts w:ascii="仿宋_GB2312" w:eastAsia="仿宋_GB2312" w:hAnsi="宋体" w:cs="宋体" w:hint="eastAsia"/>
          <w:color w:val="000000"/>
          <w:kern w:val="0"/>
          <w:sz w:val="30"/>
          <w:szCs w:val="30"/>
        </w:rPr>
        <w:lastRenderedPageBreak/>
        <w:t>以上委员表决通过方能有效，并形成会议纪要。委员会年度工作计划、重大活动方案及重要工作事项，应当经委员会讨论通过后，分别提交理事会审议通过后实施。</w:t>
      </w:r>
    </w:p>
    <w:p w:rsidR="004815FF" w:rsidRDefault="004815FF" w:rsidP="004815FF">
      <w:pPr>
        <w:widowControl/>
        <w:snapToGrid w:val="0"/>
        <w:spacing w:line="54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委员会分半年和年度向理事会汇报工作。</w:t>
      </w: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第六章 对口联系部门及职责</w:t>
      </w:r>
    </w:p>
    <w:p w:rsidR="004815FF" w:rsidRDefault="004815FF" w:rsidP="004815FF">
      <w:pPr>
        <w:snapToGrid w:val="0"/>
        <w:spacing w:line="540" w:lineRule="exact"/>
        <w:ind w:firstLine="600"/>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第十六条</w:t>
      </w:r>
      <w:r>
        <w:rPr>
          <w:rFonts w:ascii="仿宋_GB2312" w:eastAsia="仿宋_GB2312" w:hAnsi="宋体" w:cs="宋体" w:hint="eastAsia"/>
          <w:color w:val="000000"/>
          <w:kern w:val="0"/>
          <w:sz w:val="30"/>
          <w:szCs w:val="30"/>
        </w:rPr>
        <w:t xml:space="preserve">  </w:t>
      </w:r>
      <w:proofErr w:type="gramStart"/>
      <w:r>
        <w:rPr>
          <w:rFonts w:ascii="仿宋_GB2312" w:eastAsia="仿宋_GB2312" w:hAnsi="宋体" w:cs="宋体" w:hint="eastAsia"/>
          <w:color w:val="000000"/>
          <w:kern w:val="0"/>
          <w:sz w:val="30"/>
          <w:szCs w:val="30"/>
        </w:rPr>
        <w:t>川银协</w:t>
      </w:r>
      <w:proofErr w:type="gramEnd"/>
      <w:r>
        <w:rPr>
          <w:rFonts w:ascii="仿宋_GB2312" w:eastAsia="仿宋_GB2312" w:hAnsi="宋体" w:cs="宋体" w:hint="eastAsia"/>
          <w:color w:val="000000"/>
          <w:kern w:val="0"/>
          <w:sz w:val="30"/>
          <w:szCs w:val="30"/>
        </w:rPr>
        <w:t>秘书处应当积极配合委员会开展各项工作，明确具体负责联系委员会的秘书处领导和秘书处对口联系部门及人员。其工作职责包括但不限于：</w:t>
      </w:r>
    </w:p>
    <w:p w:rsidR="004815FF" w:rsidRDefault="004815FF" w:rsidP="004815FF">
      <w:pPr>
        <w:snapToGrid w:val="0"/>
        <w:spacing w:line="540" w:lineRule="exact"/>
        <w:ind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（一）积极协助委员会开展各项工作，配合做好会务安排、资料准备、事项审批、财务审批等基础工作。</w:t>
      </w:r>
    </w:p>
    <w:p w:rsidR="004815FF" w:rsidRDefault="004815FF" w:rsidP="004815FF">
      <w:pPr>
        <w:snapToGrid w:val="0"/>
        <w:spacing w:line="540" w:lineRule="exact"/>
        <w:ind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（二）参加委员会召开的会议，负责会议记录（纪要）。委员会会议记录（纪要）经主任审核后，由秘书处发送相关人员。</w:t>
      </w:r>
    </w:p>
    <w:p w:rsidR="004815FF" w:rsidRDefault="004815FF" w:rsidP="004815FF">
      <w:pPr>
        <w:snapToGrid w:val="0"/>
        <w:spacing w:line="540" w:lineRule="exact"/>
        <w:ind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（三）及时向理事会报告委员会正副主任人员变更及成员单位变动情况，并建立委员会日常动态信息台帐，包括且不限于成员调整、人员变动、新成员申请、会议出席以及参加活动等情况。</w:t>
      </w:r>
    </w:p>
    <w:p w:rsidR="004815FF" w:rsidRDefault="004815FF" w:rsidP="004815FF">
      <w:pPr>
        <w:snapToGrid w:val="0"/>
        <w:spacing w:line="540" w:lineRule="exact"/>
        <w:ind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（四）统筹安排委员会正副主任改选及成员调整工作，包括且不限于在主任任期届满一个月前，通过发文、邮件或其他适当方式提示相关工作启动，并做好各项具体事务性配合工作。</w:t>
      </w:r>
    </w:p>
    <w:p w:rsidR="004815FF" w:rsidRDefault="004815FF" w:rsidP="004815FF">
      <w:pPr>
        <w:widowControl/>
        <w:spacing w:line="54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（五）参加各类专业会议，提升专业知识，跟进行业动态、趋势，与委员会保持良好互动。</w:t>
      </w:r>
    </w:p>
    <w:p w:rsidR="004815FF" w:rsidRDefault="004815FF" w:rsidP="004815FF">
      <w:pPr>
        <w:widowControl/>
        <w:spacing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第七章 附 </w:t>
      </w:r>
      <w:r>
        <w:rPr>
          <w:rFonts w:ascii="黑体" w:eastAsia="黑体" w:hAnsi="黑体" w:cs="宋体"/>
          <w:color w:val="000000"/>
          <w:kern w:val="0"/>
          <w:sz w:val="30"/>
          <w:szCs w:val="30"/>
        </w:rPr>
        <w:t xml:space="preserve"> </w:t>
      </w:r>
      <w:r>
        <w:rPr>
          <w:rFonts w:ascii="黑体" w:eastAsia="黑体" w:hAnsi="黑体" w:cs="宋体" w:hint="eastAsia"/>
          <w:color w:val="000000"/>
          <w:kern w:val="0"/>
          <w:sz w:val="30"/>
          <w:szCs w:val="30"/>
        </w:rPr>
        <w:t>则</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第十七条</w:t>
      </w:r>
      <w:r>
        <w:rPr>
          <w:rFonts w:ascii="仿宋_GB2312" w:eastAsia="仿宋_GB2312" w:hAnsi="宋体" w:cs="宋体" w:hint="eastAsia"/>
          <w:color w:val="000000"/>
          <w:kern w:val="0"/>
          <w:sz w:val="30"/>
          <w:szCs w:val="30"/>
        </w:rPr>
        <w:t xml:space="preserve"> 本制度经委员会全体会议审议通过并报协会理事会核准后生效。</w:t>
      </w:r>
    </w:p>
    <w:p w:rsidR="004815FF" w:rsidRDefault="004815FF" w:rsidP="004815FF">
      <w:pPr>
        <w:widowControl/>
        <w:spacing w:line="540" w:lineRule="exact"/>
        <w:ind w:firstLineChars="200" w:firstLine="602"/>
        <w:jc w:val="left"/>
        <w:rPr>
          <w:rFonts w:ascii="仿宋_GB2312" w:eastAsia="仿宋_GB2312" w:hAnsi="宋体" w:cs="宋体"/>
          <w:color w:val="000000"/>
          <w:kern w:val="0"/>
          <w:sz w:val="30"/>
          <w:szCs w:val="30"/>
        </w:rPr>
      </w:pPr>
      <w:r>
        <w:rPr>
          <w:rFonts w:ascii="仿宋_GB2312" w:eastAsia="仿宋_GB2312" w:hAnsi="黑体" w:cs="宋体" w:hint="eastAsia"/>
          <w:b/>
          <w:color w:val="000000"/>
          <w:kern w:val="0"/>
          <w:sz w:val="30"/>
          <w:szCs w:val="30"/>
        </w:rPr>
        <w:t>第十八条</w:t>
      </w:r>
      <w:r>
        <w:rPr>
          <w:rFonts w:ascii="仿宋_GB2312" w:eastAsia="仿宋_GB2312" w:hAnsi="宋体" w:cs="宋体" w:hint="eastAsia"/>
          <w:color w:val="000000"/>
          <w:kern w:val="0"/>
          <w:sz w:val="30"/>
          <w:szCs w:val="30"/>
        </w:rPr>
        <w:t xml:space="preserve"> 本规则由四川省银行业协会公共关系工作委员会负责修改和解释。</w:t>
      </w:r>
    </w:p>
    <w:p w:rsidR="00CC3712" w:rsidRPr="004815FF" w:rsidRDefault="00CC3712"/>
    <w:sectPr w:rsidR="00CC3712" w:rsidRPr="004815FF" w:rsidSect="00D02A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15FF"/>
    <w:rsid w:val="00004886"/>
    <w:rsid w:val="00005655"/>
    <w:rsid w:val="000116E7"/>
    <w:rsid w:val="00011BA4"/>
    <w:rsid w:val="00012A37"/>
    <w:rsid w:val="000171A5"/>
    <w:rsid w:val="00021A6F"/>
    <w:rsid w:val="000266B2"/>
    <w:rsid w:val="00030AFC"/>
    <w:rsid w:val="000321EC"/>
    <w:rsid w:val="000354DE"/>
    <w:rsid w:val="0003774E"/>
    <w:rsid w:val="000414A5"/>
    <w:rsid w:val="000421F1"/>
    <w:rsid w:val="0004297A"/>
    <w:rsid w:val="0004449C"/>
    <w:rsid w:val="00047416"/>
    <w:rsid w:val="00047D98"/>
    <w:rsid w:val="00051837"/>
    <w:rsid w:val="00053D4A"/>
    <w:rsid w:val="00055FBB"/>
    <w:rsid w:val="000576AB"/>
    <w:rsid w:val="00060418"/>
    <w:rsid w:val="00060937"/>
    <w:rsid w:val="00063B3F"/>
    <w:rsid w:val="0006504B"/>
    <w:rsid w:val="00067211"/>
    <w:rsid w:val="00067475"/>
    <w:rsid w:val="00067D9D"/>
    <w:rsid w:val="00071A83"/>
    <w:rsid w:val="00072CF0"/>
    <w:rsid w:val="000730FB"/>
    <w:rsid w:val="00073DE8"/>
    <w:rsid w:val="00074CDD"/>
    <w:rsid w:val="00077220"/>
    <w:rsid w:val="0007752B"/>
    <w:rsid w:val="00080584"/>
    <w:rsid w:val="000820DC"/>
    <w:rsid w:val="000831D2"/>
    <w:rsid w:val="00087908"/>
    <w:rsid w:val="00087C80"/>
    <w:rsid w:val="0009334F"/>
    <w:rsid w:val="0009402B"/>
    <w:rsid w:val="00094E83"/>
    <w:rsid w:val="00096D7F"/>
    <w:rsid w:val="000A08CD"/>
    <w:rsid w:val="000A1039"/>
    <w:rsid w:val="000A515B"/>
    <w:rsid w:val="000A53D4"/>
    <w:rsid w:val="000B272A"/>
    <w:rsid w:val="000B2B15"/>
    <w:rsid w:val="000B7963"/>
    <w:rsid w:val="000C3F9F"/>
    <w:rsid w:val="000C63F4"/>
    <w:rsid w:val="000C69EC"/>
    <w:rsid w:val="000D1E63"/>
    <w:rsid w:val="000D4BA9"/>
    <w:rsid w:val="000D78BB"/>
    <w:rsid w:val="000E0F7B"/>
    <w:rsid w:val="000E5DFE"/>
    <w:rsid w:val="000E6CD5"/>
    <w:rsid w:val="000F3DCF"/>
    <w:rsid w:val="000F6861"/>
    <w:rsid w:val="00100490"/>
    <w:rsid w:val="00103DA0"/>
    <w:rsid w:val="00113110"/>
    <w:rsid w:val="001144E0"/>
    <w:rsid w:val="0011705E"/>
    <w:rsid w:val="0011768E"/>
    <w:rsid w:val="001223A7"/>
    <w:rsid w:val="001240D9"/>
    <w:rsid w:val="001267CB"/>
    <w:rsid w:val="00126A4B"/>
    <w:rsid w:val="00130552"/>
    <w:rsid w:val="00131009"/>
    <w:rsid w:val="001318A6"/>
    <w:rsid w:val="00133A77"/>
    <w:rsid w:val="001371F5"/>
    <w:rsid w:val="00141523"/>
    <w:rsid w:val="001428FD"/>
    <w:rsid w:val="00143244"/>
    <w:rsid w:val="00144875"/>
    <w:rsid w:val="00144D4F"/>
    <w:rsid w:val="00144EC7"/>
    <w:rsid w:val="00157B42"/>
    <w:rsid w:val="00160981"/>
    <w:rsid w:val="00160CB9"/>
    <w:rsid w:val="00160E7A"/>
    <w:rsid w:val="00166247"/>
    <w:rsid w:val="0016655B"/>
    <w:rsid w:val="00166834"/>
    <w:rsid w:val="0017267F"/>
    <w:rsid w:val="00172772"/>
    <w:rsid w:val="00172FC2"/>
    <w:rsid w:val="0017309F"/>
    <w:rsid w:val="001760EE"/>
    <w:rsid w:val="001806D7"/>
    <w:rsid w:val="00180E7E"/>
    <w:rsid w:val="001817BD"/>
    <w:rsid w:val="00182C4B"/>
    <w:rsid w:val="0018300B"/>
    <w:rsid w:val="00185E0F"/>
    <w:rsid w:val="00186F69"/>
    <w:rsid w:val="0018751D"/>
    <w:rsid w:val="0018756B"/>
    <w:rsid w:val="00187A72"/>
    <w:rsid w:val="00194107"/>
    <w:rsid w:val="001973BD"/>
    <w:rsid w:val="001A3A29"/>
    <w:rsid w:val="001A65A5"/>
    <w:rsid w:val="001A7ED1"/>
    <w:rsid w:val="001B2EA3"/>
    <w:rsid w:val="001B322C"/>
    <w:rsid w:val="001C2473"/>
    <w:rsid w:val="001C6483"/>
    <w:rsid w:val="001D08C7"/>
    <w:rsid w:val="001D0B92"/>
    <w:rsid w:val="001D3151"/>
    <w:rsid w:val="001D69CD"/>
    <w:rsid w:val="001E166B"/>
    <w:rsid w:val="001E2168"/>
    <w:rsid w:val="001E485D"/>
    <w:rsid w:val="001E7A6F"/>
    <w:rsid w:val="001F51FF"/>
    <w:rsid w:val="001F63BC"/>
    <w:rsid w:val="001F6719"/>
    <w:rsid w:val="001F6F16"/>
    <w:rsid w:val="00200BB7"/>
    <w:rsid w:val="0020308F"/>
    <w:rsid w:val="00207C4F"/>
    <w:rsid w:val="00210156"/>
    <w:rsid w:val="00210FF0"/>
    <w:rsid w:val="00211464"/>
    <w:rsid w:val="002118A9"/>
    <w:rsid w:val="002123E9"/>
    <w:rsid w:val="00213F7D"/>
    <w:rsid w:val="0022048E"/>
    <w:rsid w:val="002206B1"/>
    <w:rsid w:val="00221555"/>
    <w:rsid w:val="00223809"/>
    <w:rsid w:val="002242BE"/>
    <w:rsid w:val="0022685D"/>
    <w:rsid w:val="00231325"/>
    <w:rsid w:val="00231513"/>
    <w:rsid w:val="002407DF"/>
    <w:rsid w:val="00243100"/>
    <w:rsid w:val="00244409"/>
    <w:rsid w:val="002502A0"/>
    <w:rsid w:val="002524E4"/>
    <w:rsid w:val="002535B9"/>
    <w:rsid w:val="00255FF1"/>
    <w:rsid w:val="002575D8"/>
    <w:rsid w:val="0026009C"/>
    <w:rsid w:val="00262238"/>
    <w:rsid w:val="00266C13"/>
    <w:rsid w:val="002678B6"/>
    <w:rsid w:val="00272592"/>
    <w:rsid w:val="00272DF3"/>
    <w:rsid w:val="00273DA5"/>
    <w:rsid w:val="002762D3"/>
    <w:rsid w:val="00276B4F"/>
    <w:rsid w:val="002813F8"/>
    <w:rsid w:val="0028206D"/>
    <w:rsid w:val="00284C8F"/>
    <w:rsid w:val="00291738"/>
    <w:rsid w:val="00291DB5"/>
    <w:rsid w:val="00295F84"/>
    <w:rsid w:val="002A1F02"/>
    <w:rsid w:val="002A3E4D"/>
    <w:rsid w:val="002A5E37"/>
    <w:rsid w:val="002A6119"/>
    <w:rsid w:val="002A7A2B"/>
    <w:rsid w:val="002B08F2"/>
    <w:rsid w:val="002B0F4F"/>
    <w:rsid w:val="002B15EA"/>
    <w:rsid w:val="002B17BC"/>
    <w:rsid w:val="002B37BB"/>
    <w:rsid w:val="002B61B7"/>
    <w:rsid w:val="002B6BCA"/>
    <w:rsid w:val="002B7197"/>
    <w:rsid w:val="002C23A7"/>
    <w:rsid w:val="002C3C15"/>
    <w:rsid w:val="002C5108"/>
    <w:rsid w:val="002C7050"/>
    <w:rsid w:val="002C77D3"/>
    <w:rsid w:val="002D496C"/>
    <w:rsid w:val="002E3658"/>
    <w:rsid w:val="002E690C"/>
    <w:rsid w:val="002F5E4D"/>
    <w:rsid w:val="0030002B"/>
    <w:rsid w:val="0030312F"/>
    <w:rsid w:val="00303972"/>
    <w:rsid w:val="00306934"/>
    <w:rsid w:val="00306BA8"/>
    <w:rsid w:val="00313386"/>
    <w:rsid w:val="00316564"/>
    <w:rsid w:val="00320DDF"/>
    <w:rsid w:val="003239CE"/>
    <w:rsid w:val="003249A7"/>
    <w:rsid w:val="00326413"/>
    <w:rsid w:val="003266E8"/>
    <w:rsid w:val="003278B7"/>
    <w:rsid w:val="00334E6E"/>
    <w:rsid w:val="00335C19"/>
    <w:rsid w:val="003361F1"/>
    <w:rsid w:val="00337313"/>
    <w:rsid w:val="00340B22"/>
    <w:rsid w:val="003414E6"/>
    <w:rsid w:val="00350923"/>
    <w:rsid w:val="0035179B"/>
    <w:rsid w:val="00353A50"/>
    <w:rsid w:val="00354B2D"/>
    <w:rsid w:val="00354CFF"/>
    <w:rsid w:val="00355035"/>
    <w:rsid w:val="003558C0"/>
    <w:rsid w:val="00357513"/>
    <w:rsid w:val="00357E28"/>
    <w:rsid w:val="00361E66"/>
    <w:rsid w:val="00363DF4"/>
    <w:rsid w:val="00371E8E"/>
    <w:rsid w:val="00372E3F"/>
    <w:rsid w:val="00376372"/>
    <w:rsid w:val="003842F8"/>
    <w:rsid w:val="00385932"/>
    <w:rsid w:val="00387742"/>
    <w:rsid w:val="0039030F"/>
    <w:rsid w:val="0039099A"/>
    <w:rsid w:val="003910B8"/>
    <w:rsid w:val="00392DDF"/>
    <w:rsid w:val="00395869"/>
    <w:rsid w:val="00397783"/>
    <w:rsid w:val="003A1849"/>
    <w:rsid w:val="003A4815"/>
    <w:rsid w:val="003A6092"/>
    <w:rsid w:val="003A65F4"/>
    <w:rsid w:val="003A741A"/>
    <w:rsid w:val="003A74AD"/>
    <w:rsid w:val="003B0544"/>
    <w:rsid w:val="003B1707"/>
    <w:rsid w:val="003B597D"/>
    <w:rsid w:val="003B720E"/>
    <w:rsid w:val="003C258F"/>
    <w:rsid w:val="003C445C"/>
    <w:rsid w:val="003C550B"/>
    <w:rsid w:val="003C6E63"/>
    <w:rsid w:val="003C70E4"/>
    <w:rsid w:val="003D11CC"/>
    <w:rsid w:val="003D30E1"/>
    <w:rsid w:val="003D38EA"/>
    <w:rsid w:val="003D5D42"/>
    <w:rsid w:val="003E2BEB"/>
    <w:rsid w:val="003E3BF8"/>
    <w:rsid w:val="003E5E78"/>
    <w:rsid w:val="003F1486"/>
    <w:rsid w:val="003F274A"/>
    <w:rsid w:val="00413A47"/>
    <w:rsid w:val="00414208"/>
    <w:rsid w:val="00415772"/>
    <w:rsid w:val="0041720A"/>
    <w:rsid w:val="004203B7"/>
    <w:rsid w:val="0042101E"/>
    <w:rsid w:val="004210E0"/>
    <w:rsid w:val="00422B6E"/>
    <w:rsid w:val="00424BAB"/>
    <w:rsid w:val="00425BC0"/>
    <w:rsid w:val="0042707C"/>
    <w:rsid w:val="004278F4"/>
    <w:rsid w:val="004320B9"/>
    <w:rsid w:val="004323DD"/>
    <w:rsid w:val="00434183"/>
    <w:rsid w:val="00443C52"/>
    <w:rsid w:val="00444DF4"/>
    <w:rsid w:val="004468E4"/>
    <w:rsid w:val="004523EF"/>
    <w:rsid w:val="00454240"/>
    <w:rsid w:val="0046366A"/>
    <w:rsid w:val="00464E7B"/>
    <w:rsid w:val="00465A03"/>
    <w:rsid w:val="0046767C"/>
    <w:rsid w:val="004719FF"/>
    <w:rsid w:val="00475004"/>
    <w:rsid w:val="00477A36"/>
    <w:rsid w:val="004800EE"/>
    <w:rsid w:val="004812A7"/>
    <w:rsid w:val="004815FF"/>
    <w:rsid w:val="00482BC5"/>
    <w:rsid w:val="004845B4"/>
    <w:rsid w:val="004862BE"/>
    <w:rsid w:val="00486E55"/>
    <w:rsid w:val="00490AC6"/>
    <w:rsid w:val="0049341B"/>
    <w:rsid w:val="00493C5B"/>
    <w:rsid w:val="0049469D"/>
    <w:rsid w:val="004A027A"/>
    <w:rsid w:val="004A0AF3"/>
    <w:rsid w:val="004A42B6"/>
    <w:rsid w:val="004A60D6"/>
    <w:rsid w:val="004B20AC"/>
    <w:rsid w:val="004B229A"/>
    <w:rsid w:val="004B4F10"/>
    <w:rsid w:val="004C4DE7"/>
    <w:rsid w:val="004D1D0B"/>
    <w:rsid w:val="004D1FFE"/>
    <w:rsid w:val="004D5D43"/>
    <w:rsid w:val="004D6ECB"/>
    <w:rsid w:val="004E2229"/>
    <w:rsid w:val="004E4C98"/>
    <w:rsid w:val="004E4E3F"/>
    <w:rsid w:val="004E5984"/>
    <w:rsid w:val="004E5ED1"/>
    <w:rsid w:val="004F1663"/>
    <w:rsid w:val="004F2EFB"/>
    <w:rsid w:val="004F3ACA"/>
    <w:rsid w:val="004F5328"/>
    <w:rsid w:val="004F5E47"/>
    <w:rsid w:val="005007BB"/>
    <w:rsid w:val="00501E32"/>
    <w:rsid w:val="00504EEC"/>
    <w:rsid w:val="00505533"/>
    <w:rsid w:val="005103AE"/>
    <w:rsid w:val="00513BEE"/>
    <w:rsid w:val="0051401D"/>
    <w:rsid w:val="0051444F"/>
    <w:rsid w:val="0052083A"/>
    <w:rsid w:val="00520CAC"/>
    <w:rsid w:val="00522FB9"/>
    <w:rsid w:val="005236AD"/>
    <w:rsid w:val="005257D6"/>
    <w:rsid w:val="005258D1"/>
    <w:rsid w:val="0053046D"/>
    <w:rsid w:val="00531CCC"/>
    <w:rsid w:val="00532B83"/>
    <w:rsid w:val="005343DE"/>
    <w:rsid w:val="00536BD4"/>
    <w:rsid w:val="005372E6"/>
    <w:rsid w:val="005406AE"/>
    <w:rsid w:val="005412DC"/>
    <w:rsid w:val="005478C1"/>
    <w:rsid w:val="00552819"/>
    <w:rsid w:val="00556F9E"/>
    <w:rsid w:val="005613EE"/>
    <w:rsid w:val="00562893"/>
    <w:rsid w:val="0056483F"/>
    <w:rsid w:val="0056666B"/>
    <w:rsid w:val="00566E97"/>
    <w:rsid w:val="0057112E"/>
    <w:rsid w:val="005715B9"/>
    <w:rsid w:val="00573A1C"/>
    <w:rsid w:val="005818F6"/>
    <w:rsid w:val="00586FFC"/>
    <w:rsid w:val="00596C03"/>
    <w:rsid w:val="00597A04"/>
    <w:rsid w:val="005A5B1E"/>
    <w:rsid w:val="005A79BC"/>
    <w:rsid w:val="005B0E30"/>
    <w:rsid w:val="005B58A8"/>
    <w:rsid w:val="005C6C43"/>
    <w:rsid w:val="005C7DE0"/>
    <w:rsid w:val="005D0648"/>
    <w:rsid w:val="005D069E"/>
    <w:rsid w:val="005D0C82"/>
    <w:rsid w:val="005D1B52"/>
    <w:rsid w:val="005D32F5"/>
    <w:rsid w:val="005E0708"/>
    <w:rsid w:val="005E2529"/>
    <w:rsid w:val="005F035B"/>
    <w:rsid w:val="005F06AF"/>
    <w:rsid w:val="005F3EBA"/>
    <w:rsid w:val="005F7EF0"/>
    <w:rsid w:val="00602A5B"/>
    <w:rsid w:val="00603E68"/>
    <w:rsid w:val="00610338"/>
    <w:rsid w:val="00610AA0"/>
    <w:rsid w:val="00611CD7"/>
    <w:rsid w:val="00612684"/>
    <w:rsid w:val="00614945"/>
    <w:rsid w:val="006161B5"/>
    <w:rsid w:val="0062053C"/>
    <w:rsid w:val="00622266"/>
    <w:rsid w:val="006245C6"/>
    <w:rsid w:val="00625A99"/>
    <w:rsid w:val="00630B92"/>
    <w:rsid w:val="00637DE3"/>
    <w:rsid w:val="00640F16"/>
    <w:rsid w:val="00644F42"/>
    <w:rsid w:val="00645DF6"/>
    <w:rsid w:val="006467CD"/>
    <w:rsid w:val="00656950"/>
    <w:rsid w:val="00656D29"/>
    <w:rsid w:val="00660941"/>
    <w:rsid w:val="00663A07"/>
    <w:rsid w:val="00664658"/>
    <w:rsid w:val="00665B7B"/>
    <w:rsid w:val="00665D71"/>
    <w:rsid w:val="006710D3"/>
    <w:rsid w:val="00671843"/>
    <w:rsid w:val="00684A70"/>
    <w:rsid w:val="00684D28"/>
    <w:rsid w:val="006863BD"/>
    <w:rsid w:val="00686D50"/>
    <w:rsid w:val="00692B36"/>
    <w:rsid w:val="006930F7"/>
    <w:rsid w:val="006A086F"/>
    <w:rsid w:val="006A0A6C"/>
    <w:rsid w:val="006A1F15"/>
    <w:rsid w:val="006A41CB"/>
    <w:rsid w:val="006A4918"/>
    <w:rsid w:val="006B5D69"/>
    <w:rsid w:val="006C429B"/>
    <w:rsid w:val="006C43F2"/>
    <w:rsid w:val="006C48CA"/>
    <w:rsid w:val="006D0AA3"/>
    <w:rsid w:val="006D5410"/>
    <w:rsid w:val="006E1696"/>
    <w:rsid w:val="006E4E13"/>
    <w:rsid w:val="006E5906"/>
    <w:rsid w:val="006E5F21"/>
    <w:rsid w:val="006F005A"/>
    <w:rsid w:val="006F0FFB"/>
    <w:rsid w:val="006F7498"/>
    <w:rsid w:val="00700B90"/>
    <w:rsid w:val="0070497F"/>
    <w:rsid w:val="0070667A"/>
    <w:rsid w:val="00706F8E"/>
    <w:rsid w:val="00717512"/>
    <w:rsid w:val="00720710"/>
    <w:rsid w:val="0072224E"/>
    <w:rsid w:val="007234DD"/>
    <w:rsid w:val="007242F2"/>
    <w:rsid w:val="00725E45"/>
    <w:rsid w:val="00727E42"/>
    <w:rsid w:val="007301B7"/>
    <w:rsid w:val="00730B7A"/>
    <w:rsid w:val="00731483"/>
    <w:rsid w:val="00731700"/>
    <w:rsid w:val="00731982"/>
    <w:rsid w:val="00733826"/>
    <w:rsid w:val="00733D7A"/>
    <w:rsid w:val="0075113C"/>
    <w:rsid w:val="007564F0"/>
    <w:rsid w:val="00757BDB"/>
    <w:rsid w:val="00763A3B"/>
    <w:rsid w:val="00763D0A"/>
    <w:rsid w:val="00764F4B"/>
    <w:rsid w:val="00767090"/>
    <w:rsid w:val="00775365"/>
    <w:rsid w:val="00782974"/>
    <w:rsid w:val="007875B7"/>
    <w:rsid w:val="00791CB1"/>
    <w:rsid w:val="007948B8"/>
    <w:rsid w:val="007A1016"/>
    <w:rsid w:val="007A1A40"/>
    <w:rsid w:val="007A22D6"/>
    <w:rsid w:val="007A2B3E"/>
    <w:rsid w:val="007B0622"/>
    <w:rsid w:val="007C0F25"/>
    <w:rsid w:val="007C43E7"/>
    <w:rsid w:val="007D0590"/>
    <w:rsid w:val="007D173E"/>
    <w:rsid w:val="007D20E4"/>
    <w:rsid w:val="007D263E"/>
    <w:rsid w:val="007D35E1"/>
    <w:rsid w:val="007D4A44"/>
    <w:rsid w:val="007D567F"/>
    <w:rsid w:val="007D574E"/>
    <w:rsid w:val="007D75B6"/>
    <w:rsid w:val="007D771F"/>
    <w:rsid w:val="007E439B"/>
    <w:rsid w:val="007E6786"/>
    <w:rsid w:val="007E71B9"/>
    <w:rsid w:val="007E7D1C"/>
    <w:rsid w:val="007F1073"/>
    <w:rsid w:val="007F3EB1"/>
    <w:rsid w:val="007F41E9"/>
    <w:rsid w:val="007F45A4"/>
    <w:rsid w:val="007F6251"/>
    <w:rsid w:val="007F63FF"/>
    <w:rsid w:val="007F73E7"/>
    <w:rsid w:val="00800674"/>
    <w:rsid w:val="00807F99"/>
    <w:rsid w:val="008109B4"/>
    <w:rsid w:val="00811E24"/>
    <w:rsid w:val="008142EF"/>
    <w:rsid w:val="0081564E"/>
    <w:rsid w:val="008237E7"/>
    <w:rsid w:val="00826B3A"/>
    <w:rsid w:val="0083355E"/>
    <w:rsid w:val="00836C87"/>
    <w:rsid w:val="00837175"/>
    <w:rsid w:val="0083794D"/>
    <w:rsid w:val="00841134"/>
    <w:rsid w:val="00841461"/>
    <w:rsid w:val="00850197"/>
    <w:rsid w:val="008540C3"/>
    <w:rsid w:val="00860257"/>
    <w:rsid w:val="0086071C"/>
    <w:rsid w:val="008702DF"/>
    <w:rsid w:val="00871A46"/>
    <w:rsid w:val="008731BA"/>
    <w:rsid w:val="00875018"/>
    <w:rsid w:val="00876448"/>
    <w:rsid w:val="00881B01"/>
    <w:rsid w:val="00882AA4"/>
    <w:rsid w:val="008835AE"/>
    <w:rsid w:val="00884527"/>
    <w:rsid w:val="00893A08"/>
    <w:rsid w:val="00894559"/>
    <w:rsid w:val="0089491A"/>
    <w:rsid w:val="00896453"/>
    <w:rsid w:val="00896E52"/>
    <w:rsid w:val="00896EF3"/>
    <w:rsid w:val="008974EF"/>
    <w:rsid w:val="008A0FEF"/>
    <w:rsid w:val="008A6D62"/>
    <w:rsid w:val="008B0B77"/>
    <w:rsid w:val="008C031F"/>
    <w:rsid w:val="008C0994"/>
    <w:rsid w:val="008C1F19"/>
    <w:rsid w:val="008C3628"/>
    <w:rsid w:val="008C36F0"/>
    <w:rsid w:val="008C7227"/>
    <w:rsid w:val="008C76BC"/>
    <w:rsid w:val="008C7C22"/>
    <w:rsid w:val="008D06BB"/>
    <w:rsid w:val="008D6875"/>
    <w:rsid w:val="008E1515"/>
    <w:rsid w:val="008E3137"/>
    <w:rsid w:val="008E6889"/>
    <w:rsid w:val="008F08FD"/>
    <w:rsid w:val="008F1FC1"/>
    <w:rsid w:val="008F272E"/>
    <w:rsid w:val="008F296E"/>
    <w:rsid w:val="008F482B"/>
    <w:rsid w:val="008F5D2E"/>
    <w:rsid w:val="00900647"/>
    <w:rsid w:val="00900ED4"/>
    <w:rsid w:val="009021F6"/>
    <w:rsid w:val="0090483D"/>
    <w:rsid w:val="00905655"/>
    <w:rsid w:val="009106A3"/>
    <w:rsid w:val="00914516"/>
    <w:rsid w:val="00915863"/>
    <w:rsid w:val="00915CA8"/>
    <w:rsid w:val="00920A98"/>
    <w:rsid w:val="00920C82"/>
    <w:rsid w:val="00920ECC"/>
    <w:rsid w:val="009232E7"/>
    <w:rsid w:val="009266F7"/>
    <w:rsid w:val="00943123"/>
    <w:rsid w:val="0094721F"/>
    <w:rsid w:val="0095112D"/>
    <w:rsid w:val="00951458"/>
    <w:rsid w:val="00952F75"/>
    <w:rsid w:val="00954815"/>
    <w:rsid w:val="00954D7B"/>
    <w:rsid w:val="009600F8"/>
    <w:rsid w:val="00960B13"/>
    <w:rsid w:val="00962496"/>
    <w:rsid w:val="00970EDD"/>
    <w:rsid w:val="00976557"/>
    <w:rsid w:val="0098031B"/>
    <w:rsid w:val="00981608"/>
    <w:rsid w:val="0098459D"/>
    <w:rsid w:val="00984D35"/>
    <w:rsid w:val="00987D38"/>
    <w:rsid w:val="00990AE6"/>
    <w:rsid w:val="00990E19"/>
    <w:rsid w:val="00992B5B"/>
    <w:rsid w:val="0099513D"/>
    <w:rsid w:val="009A68AE"/>
    <w:rsid w:val="009B1415"/>
    <w:rsid w:val="009B2844"/>
    <w:rsid w:val="009B2AA6"/>
    <w:rsid w:val="009B2F4F"/>
    <w:rsid w:val="009B3CFB"/>
    <w:rsid w:val="009B448E"/>
    <w:rsid w:val="009B4838"/>
    <w:rsid w:val="009B4F91"/>
    <w:rsid w:val="009B7D43"/>
    <w:rsid w:val="009C004D"/>
    <w:rsid w:val="009C14D2"/>
    <w:rsid w:val="009D3002"/>
    <w:rsid w:val="009D4B42"/>
    <w:rsid w:val="009E1BEC"/>
    <w:rsid w:val="009E44AF"/>
    <w:rsid w:val="009E5665"/>
    <w:rsid w:val="009E5ADF"/>
    <w:rsid w:val="009F0B2D"/>
    <w:rsid w:val="009F4B65"/>
    <w:rsid w:val="009F6FD3"/>
    <w:rsid w:val="009F70E7"/>
    <w:rsid w:val="00A0243F"/>
    <w:rsid w:val="00A04318"/>
    <w:rsid w:val="00A05702"/>
    <w:rsid w:val="00A064DB"/>
    <w:rsid w:val="00A065E3"/>
    <w:rsid w:val="00A1164F"/>
    <w:rsid w:val="00A12252"/>
    <w:rsid w:val="00A12746"/>
    <w:rsid w:val="00A1399B"/>
    <w:rsid w:val="00A2014B"/>
    <w:rsid w:val="00A22BB0"/>
    <w:rsid w:val="00A25871"/>
    <w:rsid w:val="00A265E4"/>
    <w:rsid w:val="00A269A0"/>
    <w:rsid w:val="00A31E28"/>
    <w:rsid w:val="00A32CD5"/>
    <w:rsid w:val="00A34E2C"/>
    <w:rsid w:val="00A37505"/>
    <w:rsid w:val="00A44983"/>
    <w:rsid w:val="00A456FB"/>
    <w:rsid w:val="00A469A2"/>
    <w:rsid w:val="00A50486"/>
    <w:rsid w:val="00A50EBB"/>
    <w:rsid w:val="00A50EBF"/>
    <w:rsid w:val="00A55D29"/>
    <w:rsid w:val="00A573FC"/>
    <w:rsid w:val="00A627BF"/>
    <w:rsid w:val="00A62A2D"/>
    <w:rsid w:val="00A641DF"/>
    <w:rsid w:val="00A651AA"/>
    <w:rsid w:val="00A7348A"/>
    <w:rsid w:val="00A75E54"/>
    <w:rsid w:val="00A8127A"/>
    <w:rsid w:val="00A826F0"/>
    <w:rsid w:val="00A830C8"/>
    <w:rsid w:val="00A85318"/>
    <w:rsid w:val="00A906B9"/>
    <w:rsid w:val="00A90865"/>
    <w:rsid w:val="00A9594C"/>
    <w:rsid w:val="00A96C79"/>
    <w:rsid w:val="00AA0854"/>
    <w:rsid w:val="00AA1817"/>
    <w:rsid w:val="00AA1E0A"/>
    <w:rsid w:val="00AA22BC"/>
    <w:rsid w:val="00AA2CB5"/>
    <w:rsid w:val="00AA3654"/>
    <w:rsid w:val="00AA50DB"/>
    <w:rsid w:val="00AB0529"/>
    <w:rsid w:val="00AC07BA"/>
    <w:rsid w:val="00AC0C3C"/>
    <w:rsid w:val="00AC19E3"/>
    <w:rsid w:val="00AC1E0A"/>
    <w:rsid w:val="00AC30EB"/>
    <w:rsid w:val="00AD1BEB"/>
    <w:rsid w:val="00AD26EA"/>
    <w:rsid w:val="00AD372E"/>
    <w:rsid w:val="00AD51C3"/>
    <w:rsid w:val="00AE03A5"/>
    <w:rsid w:val="00AE057C"/>
    <w:rsid w:val="00AE2B85"/>
    <w:rsid w:val="00AE466C"/>
    <w:rsid w:val="00AE62F1"/>
    <w:rsid w:val="00AE7F33"/>
    <w:rsid w:val="00AF367E"/>
    <w:rsid w:val="00AF47A5"/>
    <w:rsid w:val="00AF6EAE"/>
    <w:rsid w:val="00AF6F36"/>
    <w:rsid w:val="00B009A0"/>
    <w:rsid w:val="00B01B90"/>
    <w:rsid w:val="00B02B75"/>
    <w:rsid w:val="00B05054"/>
    <w:rsid w:val="00B06BF1"/>
    <w:rsid w:val="00B06EAA"/>
    <w:rsid w:val="00B11882"/>
    <w:rsid w:val="00B133A3"/>
    <w:rsid w:val="00B14AC4"/>
    <w:rsid w:val="00B179AD"/>
    <w:rsid w:val="00B25313"/>
    <w:rsid w:val="00B30D9E"/>
    <w:rsid w:val="00B34E60"/>
    <w:rsid w:val="00B367A8"/>
    <w:rsid w:val="00B40862"/>
    <w:rsid w:val="00B47C4F"/>
    <w:rsid w:val="00B520A5"/>
    <w:rsid w:val="00B533FD"/>
    <w:rsid w:val="00B54034"/>
    <w:rsid w:val="00B550F2"/>
    <w:rsid w:val="00B5650C"/>
    <w:rsid w:val="00B6048B"/>
    <w:rsid w:val="00B6110C"/>
    <w:rsid w:val="00B6642E"/>
    <w:rsid w:val="00B703C5"/>
    <w:rsid w:val="00B73461"/>
    <w:rsid w:val="00B756A7"/>
    <w:rsid w:val="00B75E7B"/>
    <w:rsid w:val="00B81B2A"/>
    <w:rsid w:val="00B836B5"/>
    <w:rsid w:val="00B8395E"/>
    <w:rsid w:val="00B858BF"/>
    <w:rsid w:val="00B87E25"/>
    <w:rsid w:val="00B90E84"/>
    <w:rsid w:val="00B9199B"/>
    <w:rsid w:val="00BA45F0"/>
    <w:rsid w:val="00BA585A"/>
    <w:rsid w:val="00BA7CDF"/>
    <w:rsid w:val="00BB0DD3"/>
    <w:rsid w:val="00BB32D3"/>
    <w:rsid w:val="00BC0DD9"/>
    <w:rsid w:val="00BC4267"/>
    <w:rsid w:val="00BC6D51"/>
    <w:rsid w:val="00BD0C86"/>
    <w:rsid w:val="00BD367D"/>
    <w:rsid w:val="00BD5057"/>
    <w:rsid w:val="00BD52D7"/>
    <w:rsid w:val="00BD73DD"/>
    <w:rsid w:val="00BE20F4"/>
    <w:rsid w:val="00BE25E3"/>
    <w:rsid w:val="00BE3E2E"/>
    <w:rsid w:val="00BE4D5A"/>
    <w:rsid w:val="00BE4F92"/>
    <w:rsid w:val="00BE7D7E"/>
    <w:rsid w:val="00BF3AB4"/>
    <w:rsid w:val="00BF457F"/>
    <w:rsid w:val="00BF63D7"/>
    <w:rsid w:val="00C00FD9"/>
    <w:rsid w:val="00C0507B"/>
    <w:rsid w:val="00C11940"/>
    <w:rsid w:val="00C121B2"/>
    <w:rsid w:val="00C1238F"/>
    <w:rsid w:val="00C141E0"/>
    <w:rsid w:val="00C144F9"/>
    <w:rsid w:val="00C14F29"/>
    <w:rsid w:val="00C16CAD"/>
    <w:rsid w:val="00C224A7"/>
    <w:rsid w:val="00C22B5B"/>
    <w:rsid w:val="00C27223"/>
    <w:rsid w:val="00C27CAE"/>
    <w:rsid w:val="00C33978"/>
    <w:rsid w:val="00C354C6"/>
    <w:rsid w:val="00C36C9B"/>
    <w:rsid w:val="00C41760"/>
    <w:rsid w:val="00C43641"/>
    <w:rsid w:val="00C44B4F"/>
    <w:rsid w:val="00C45369"/>
    <w:rsid w:val="00C51AF3"/>
    <w:rsid w:val="00C51C9B"/>
    <w:rsid w:val="00C53BD0"/>
    <w:rsid w:val="00C601DD"/>
    <w:rsid w:val="00C645A9"/>
    <w:rsid w:val="00C655C1"/>
    <w:rsid w:val="00C71F9D"/>
    <w:rsid w:val="00C7263F"/>
    <w:rsid w:val="00C758AA"/>
    <w:rsid w:val="00C75A63"/>
    <w:rsid w:val="00C800BC"/>
    <w:rsid w:val="00C817E4"/>
    <w:rsid w:val="00C82681"/>
    <w:rsid w:val="00C82806"/>
    <w:rsid w:val="00C843B1"/>
    <w:rsid w:val="00C84619"/>
    <w:rsid w:val="00C906F3"/>
    <w:rsid w:val="00C916D9"/>
    <w:rsid w:val="00C921A0"/>
    <w:rsid w:val="00C93430"/>
    <w:rsid w:val="00C96094"/>
    <w:rsid w:val="00CA0077"/>
    <w:rsid w:val="00CA32D7"/>
    <w:rsid w:val="00CA3AAF"/>
    <w:rsid w:val="00CA5CDD"/>
    <w:rsid w:val="00CA69F4"/>
    <w:rsid w:val="00CA72ED"/>
    <w:rsid w:val="00CB3BBB"/>
    <w:rsid w:val="00CB6953"/>
    <w:rsid w:val="00CB7F95"/>
    <w:rsid w:val="00CC0188"/>
    <w:rsid w:val="00CC1F35"/>
    <w:rsid w:val="00CC235B"/>
    <w:rsid w:val="00CC3712"/>
    <w:rsid w:val="00CC6B18"/>
    <w:rsid w:val="00CC6B5C"/>
    <w:rsid w:val="00CD0AFB"/>
    <w:rsid w:val="00CD62B5"/>
    <w:rsid w:val="00CE3244"/>
    <w:rsid w:val="00CE3CBE"/>
    <w:rsid w:val="00CE54AB"/>
    <w:rsid w:val="00CE5FD4"/>
    <w:rsid w:val="00CE7D22"/>
    <w:rsid w:val="00CF0846"/>
    <w:rsid w:val="00CF2344"/>
    <w:rsid w:val="00CF2A17"/>
    <w:rsid w:val="00CF530A"/>
    <w:rsid w:val="00D00382"/>
    <w:rsid w:val="00D02415"/>
    <w:rsid w:val="00D04CC5"/>
    <w:rsid w:val="00D04F80"/>
    <w:rsid w:val="00D0719F"/>
    <w:rsid w:val="00D10C28"/>
    <w:rsid w:val="00D13BBB"/>
    <w:rsid w:val="00D15056"/>
    <w:rsid w:val="00D17191"/>
    <w:rsid w:val="00D17A57"/>
    <w:rsid w:val="00D2258A"/>
    <w:rsid w:val="00D23B6A"/>
    <w:rsid w:val="00D23F31"/>
    <w:rsid w:val="00D26AE5"/>
    <w:rsid w:val="00D27077"/>
    <w:rsid w:val="00D31565"/>
    <w:rsid w:val="00D36C51"/>
    <w:rsid w:val="00D45A8E"/>
    <w:rsid w:val="00D5245C"/>
    <w:rsid w:val="00D640D3"/>
    <w:rsid w:val="00D657ED"/>
    <w:rsid w:val="00D70094"/>
    <w:rsid w:val="00D71BCD"/>
    <w:rsid w:val="00D71F35"/>
    <w:rsid w:val="00D75564"/>
    <w:rsid w:val="00D7781D"/>
    <w:rsid w:val="00D77B65"/>
    <w:rsid w:val="00D81C28"/>
    <w:rsid w:val="00D84F65"/>
    <w:rsid w:val="00D86869"/>
    <w:rsid w:val="00D938DB"/>
    <w:rsid w:val="00D97154"/>
    <w:rsid w:val="00DA0F9D"/>
    <w:rsid w:val="00DB247C"/>
    <w:rsid w:val="00DC012C"/>
    <w:rsid w:val="00DC1ADD"/>
    <w:rsid w:val="00DC53AF"/>
    <w:rsid w:val="00DC67C9"/>
    <w:rsid w:val="00DD1367"/>
    <w:rsid w:val="00DD2E75"/>
    <w:rsid w:val="00DD656D"/>
    <w:rsid w:val="00DE0C83"/>
    <w:rsid w:val="00DE223B"/>
    <w:rsid w:val="00DE5352"/>
    <w:rsid w:val="00DE6255"/>
    <w:rsid w:val="00DE712B"/>
    <w:rsid w:val="00DF4735"/>
    <w:rsid w:val="00E011A8"/>
    <w:rsid w:val="00E024BD"/>
    <w:rsid w:val="00E03E7C"/>
    <w:rsid w:val="00E11AC3"/>
    <w:rsid w:val="00E16932"/>
    <w:rsid w:val="00E17DC2"/>
    <w:rsid w:val="00E2327F"/>
    <w:rsid w:val="00E23969"/>
    <w:rsid w:val="00E31513"/>
    <w:rsid w:val="00E326F8"/>
    <w:rsid w:val="00E35466"/>
    <w:rsid w:val="00E36A83"/>
    <w:rsid w:val="00E408B7"/>
    <w:rsid w:val="00E40DA5"/>
    <w:rsid w:val="00E45D9B"/>
    <w:rsid w:val="00E47575"/>
    <w:rsid w:val="00E56A88"/>
    <w:rsid w:val="00E56F7E"/>
    <w:rsid w:val="00E62919"/>
    <w:rsid w:val="00E63EE4"/>
    <w:rsid w:val="00E641FC"/>
    <w:rsid w:val="00E65D34"/>
    <w:rsid w:val="00E66AC9"/>
    <w:rsid w:val="00E7173B"/>
    <w:rsid w:val="00E73BA1"/>
    <w:rsid w:val="00E744FF"/>
    <w:rsid w:val="00E804DF"/>
    <w:rsid w:val="00E8264C"/>
    <w:rsid w:val="00E83649"/>
    <w:rsid w:val="00E836F0"/>
    <w:rsid w:val="00E84D58"/>
    <w:rsid w:val="00E85943"/>
    <w:rsid w:val="00E91D89"/>
    <w:rsid w:val="00E93498"/>
    <w:rsid w:val="00E93667"/>
    <w:rsid w:val="00E93DB8"/>
    <w:rsid w:val="00E94FD2"/>
    <w:rsid w:val="00EA04B2"/>
    <w:rsid w:val="00EA07A4"/>
    <w:rsid w:val="00EA20BE"/>
    <w:rsid w:val="00EA29AF"/>
    <w:rsid w:val="00EA5B08"/>
    <w:rsid w:val="00EA6D59"/>
    <w:rsid w:val="00EB165E"/>
    <w:rsid w:val="00EB24B0"/>
    <w:rsid w:val="00EB322C"/>
    <w:rsid w:val="00EB4BB0"/>
    <w:rsid w:val="00EB55B3"/>
    <w:rsid w:val="00EB588E"/>
    <w:rsid w:val="00EB72E6"/>
    <w:rsid w:val="00EC134E"/>
    <w:rsid w:val="00EC178A"/>
    <w:rsid w:val="00ED7F00"/>
    <w:rsid w:val="00EE0388"/>
    <w:rsid w:val="00EE6B12"/>
    <w:rsid w:val="00EF0711"/>
    <w:rsid w:val="00EF1976"/>
    <w:rsid w:val="00EF2190"/>
    <w:rsid w:val="00EF5ED5"/>
    <w:rsid w:val="00F00A2C"/>
    <w:rsid w:val="00F00C6F"/>
    <w:rsid w:val="00F0684E"/>
    <w:rsid w:val="00F10FD8"/>
    <w:rsid w:val="00F179A9"/>
    <w:rsid w:val="00F21DEF"/>
    <w:rsid w:val="00F223CA"/>
    <w:rsid w:val="00F267FC"/>
    <w:rsid w:val="00F26800"/>
    <w:rsid w:val="00F333DB"/>
    <w:rsid w:val="00F3538A"/>
    <w:rsid w:val="00F3599C"/>
    <w:rsid w:val="00F37118"/>
    <w:rsid w:val="00F37465"/>
    <w:rsid w:val="00F424B3"/>
    <w:rsid w:val="00F467CB"/>
    <w:rsid w:val="00F50F96"/>
    <w:rsid w:val="00F55E09"/>
    <w:rsid w:val="00F64D3D"/>
    <w:rsid w:val="00F65212"/>
    <w:rsid w:val="00F676F1"/>
    <w:rsid w:val="00F70159"/>
    <w:rsid w:val="00F75E02"/>
    <w:rsid w:val="00F801EB"/>
    <w:rsid w:val="00F83640"/>
    <w:rsid w:val="00F837AE"/>
    <w:rsid w:val="00F863FA"/>
    <w:rsid w:val="00F87988"/>
    <w:rsid w:val="00F941FF"/>
    <w:rsid w:val="00F95DF7"/>
    <w:rsid w:val="00FA1F56"/>
    <w:rsid w:val="00FA24A4"/>
    <w:rsid w:val="00FA2D3D"/>
    <w:rsid w:val="00FA2D6D"/>
    <w:rsid w:val="00FA2EE7"/>
    <w:rsid w:val="00FA3FC9"/>
    <w:rsid w:val="00FA4D0C"/>
    <w:rsid w:val="00FA5866"/>
    <w:rsid w:val="00FB2980"/>
    <w:rsid w:val="00FB4E03"/>
    <w:rsid w:val="00FB5828"/>
    <w:rsid w:val="00FB6A5F"/>
    <w:rsid w:val="00FB7182"/>
    <w:rsid w:val="00FC1647"/>
    <w:rsid w:val="00FC2E71"/>
    <w:rsid w:val="00FC6048"/>
    <w:rsid w:val="00FD51DB"/>
    <w:rsid w:val="00FE0DCF"/>
    <w:rsid w:val="00FE25A0"/>
    <w:rsid w:val="00FE2B26"/>
    <w:rsid w:val="00FE2D19"/>
    <w:rsid w:val="00FE3706"/>
    <w:rsid w:val="00FF3577"/>
    <w:rsid w:val="00FF38DE"/>
    <w:rsid w:val="00FF4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2236</Characters>
  <Application>Microsoft Office Word</Application>
  <DocSecurity>0</DocSecurity>
  <Lines>18</Lines>
  <Paragraphs>5</Paragraphs>
  <ScaleCrop>false</ScaleCrop>
  <Company>China</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马志华</dc:creator>
  <cp:lastModifiedBy>马志华</cp:lastModifiedBy>
  <cp:revision>1</cp:revision>
  <dcterms:created xsi:type="dcterms:W3CDTF">2021-10-11T06:20:00Z</dcterms:created>
  <dcterms:modified xsi:type="dcterms:W3CDTF">2021-10-11T06:20:00Z</dcterms:modified>
</cp:coreProperties>
</file>